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0" w:line="219" w:lineRule="auto"/>
        <w:ind w:left="676"/>
        <w:jc w:val="center"/>
        <w:rPr>
          <w:rFonts w:hint="default" w:ascii="Times New Roman" w:hAnsi="Times New Roman" w:eastAsia="宋体" w:cs="Times New Roman"/>
          <w:b/>
          <w:bCs/>
          <w:w w:val="100"/>
          <w:sz w:val="44"/>
          <w:szCs w:val="44"/>
        </w:rPr>
      </w:pPr>
      <w:r>
        <w:rPr>
          <w:rFonts w:hint="default" w:ascii="Times New Roman" w:hAnsi="Times New Roman" w:eastAsia="宋体" w:cs="Times New Roman"/>
          <w:b/>
          <w:bCs/>
          <w:spacing w:val="-25"/>
          <w:w w:val="100"/>
          <w:sz w:val="44"/>
          <w:szCs w:val="44"/>
        </w:rPr>
        <w:t>关于</w:t>
      </w:r>
      <w:r>
        <w:rPr>
          <w:rFonts w:hint="eastAsia" w:ascii="Times New Roman" w:hAnsi="Times New Roman" w:eastAsia="宋体" w:cs="Times New Roman"/>
          <w:b/>
          <w:bCs/>
          <w:spacing w:val="-25"/>
          <w:w w:val="100"/>
          <w:sz w:val="44"/>
          <w:szCs w:val="44"/>
          <w:lang w:val="en-US" w:eastAsia="zh-CN"/>
        </w:rPr>
        <w:t>进一步扩大</w:t>
      </w:r>
      <w:r>
        <w:rPr>
          <w:rFonts w:hint="default" w:ascii="Times New Roman" w:hAnsi="Times New Roman" w:eastAsia="宋体" w:cs="Times New Roman"/>
          <w:b/>
          <w:bCs/>
          <w:spacing w:val="-25"/>
          <w:w w:val="100"/>
          <w:sz w:val="44"/>
          <w:szCs w:val="44"/>
          <w:lang w:val="en-US" w:eastAsia="zh-CN"/>
        </w:rPr>
        <w:t>沛县</w:t>
      </w:r>
      <w:r>
        <w:rPr>
          <w:rFonts w:hint="default" w:ascii="Times New Roman" w:hAnsi="Times New Roman" w:eastAsia="宋体" w:cs="Times New Roman"/>
          <w:b/>
          <w:bCs/>
          <w:spacing w:val="-25"/>
          <w:w w:val="100"/>
          <w:sz w:val="44"/>
          <w:szCs w:val="44"/>
        </w:rPr>
        <w:t>农村产权交易</w:t>
      </w:r>
      <w:r>
        <w:rPr>
          <w:rFonts w:hint="eastAsia" w:ascii="Times New Roman" w:hAnsi="Times New Roman" w:eastAsia="宋体" w:cs="Times New Roman"/>
          <w:b/>
          <w:bCs/>
          <w:spacing w:val="-25"/>
          <w:w w:val="100"/>
          <w:sz w:val="44"/>
          <w:szCs w:val="44"/>
          <w:lang w:val="en-US" w:eastAsia="zh-CN"/>
        </w:rPr>
        <w:t>第三方</w:t>
      </w:r>
      <w:r>
        <w:rPr>
          <w:rFonts w:hint="default" w:ascii="Times New Roman" w:hAnsi="Times New Roman" w:eastAsia="宋体" w:cs="Times New Roman"/>
          <w:b/>
          <w:bCs/>
          <w:spacing w:val="-25"/>
          <w:w w:val="100"/>
          <w:sz w:val="44"/>
          <w:szCs w:val="44"/>
        </w:rPr>
        <w:t>代理</w:t>
      </w:r>
      <w:r>
        <w:rPr>
          <w:rFonts w:hint="default" w:ascii="Times New Roman" w:hAnsi="Times New Roman" w:eastAsia="宋体" w:cs="Times New Roman"/>
          <w:b/>
          <w:bCs/>
          <w:spacing w:val="-25"/>
          <w:w w:val="100"/>
          <w:sz w:val="44"/>
          <w:szCs w:val="44"/>
          <w:lang w:val="en-US" w:eastAsia="zh-CN"/>
        </w:rPr>
        <w:t>机构</w:t>
      </w:r>
      <w:r>
        <w:rPr>
          <w:rFonts w:hint="eastAsia" w:ascii="Times New Roman" w:hAnsi="Times New Roman" w:eastAsia="宋体" w:cs="Times New Roman"/>
          <w:b/>
          <w:bCs/>
          <w:spacing w:val="-25"/>
          <w:w w:val="100"/>
          <w:sz w:val="44"/>
          <w:szCs w:val="44"/>
          <w:lang w:val="en-US" w:eastAsia="zh-CN"/>
        </w:rPr>
        <w:t>遴选工作</w:t>
      </w:r>
      <w:r>
        <w:rPr>
          <w:rFonts w:hint="default" w:ascii="Times New Roman" w:hAnsi="Times New Roman" w:eastAsia="宋体" w:cs="Times New Roman"/>
          <w:b/>
          <w:bCs/>
          <w:spacing w:val="-25"/>
          <w:w w:val="100"/>
          <w:sz w:val="44"/>
          <w:szCs w:val="44"/>
        </w:rPr>
        <w:t>的通知</w:t>
      </w:r>
    </w:p>
    <w:p>
      <w:pPr>
        <w:pStyle w:val="2"/>
        <w:keepNext w:val="0"/>
        <w:keepLines w:val="0"/>
        <w:pageBreakBefore w:val="0"/>
        <w:widowControl/>
        <w:tabs>
          <w:tab w:val="left" w:pos="6100"/>
        </w:tabs>
        <w:kinsoku w:val="0"/>
        <w:wordWrap/>
        <w:overflowPunct/>
        <w:topLinePunct w:val="0"/>
        <w:autoSpaceDE w:val="0"/>
        <w:autoSpaceDN w:val="0"/>
        <w:bidi w:val="0"/>
        <w:adjustRightInd w:val="0"/>
        <w:snapToGrid w:val="0"/>
        <w:spacing w:line="640" w:lineRule="exact"/>
        <w:jc w:val="left"/>
        <w:textAlignment w:val="baseline"/>
        <w:rPr>
          <w:rFonts w:hint="default" w:ascii="Times New Roman" w:hAnsi="Times New Roman" w:eastAsia="仿宋_GB2312" w:cs="Times New Roman"/>
          <w:spacing w:val="7"/>
          <w:sz w:val="32"/>
          <w:szCs w:val="32"/>
        </w:rPr>
      </w:pPr>
    </w:p>
    <w:p>
      <w:pPr>
        <w:pStyle w:val="2"/>
        <w:keepNext w:val="0"/>
        <w:keepLines w:val="0"/>
        <w:pageBreakBefore w:val="0"/>
        <w:widowControl/>
        <w:tabs>
          <w:tab w:val="left" w:pos="6100"/>
        </w:tabs>
        <w:kinsoku w:val="0"/>
        <w:wordWrap/>
        <w:overflowPunct/>
        <w:topLinePunct w:val="0"/>
        <w:autoSpaceDE w:val="0"/>
        <w:autoSpaceDN w:val="0"/>
        <w:bidi w:val="0"/>
        <w:adjustRightInd w:val="0"/>
        <w:snapToGrid w:val="0"/>
        <w:spacing w:line="640" w:lineRule="exact"/>
        <w:ind w:firstLine="640" w:firstLineChars="200"/>
        <w:jc w:val="left"/>
        <w:textAlignment w:val="baseline"/>
        <w:rPr>
          <w:rFonts w:hint="default" w:ascii="Times New Roman" w:hAnsi="Times New Roman" w:eastAsia="仿宋_GB2312" w:cs="Times New Roman"/>
          <w:snapToGrid w:val="0"/>
          <w:color w:val="000000"/>
          <w:kern w:val="0"/>
          <w:sz w:val="32"/>
          <w:szCs w:val="32"/>
        </w:rPr>
      </w:pPr>
      <w:r>
        <w:rPr>
          <w:rFonts w:hint="default" w:ascii="Times New Roman" w:hAnsi="Times New Roman" w:eastAsia="仿宋_GB2312" w:cs="Times New Roman"/>
          <w:snapToGrid w:val="0"/>
          <w:color w:val="000000"/>
          <w:kern w:val="0"/>
          <w:sz w:val="32"/>
          <w:szCs w:val="32"/>
        </w:rPr>
        <w:t>为进一步贯彻落实《关于规范农村产权交易代理机构的通知》(徐农办〔2022〕138号)</w:t>
      </w:r>
      <w:r>
        <w:rPr>
          <w:rFonts w:hint="eastAsia" w:ascii="Times New Roman" w:hAnsi="Times New Roman" w:eastAsia="仿宋_GB2312" w:cs="Times New Roman"/>
          <w:snapToGrid w:val="0"/>
          <w:color w:val="000000"/>
          <w:kern w:val="0"/>
          <w:sz w:val="32"/>
          <w:szCs w:val="32"/>
          <w:lang w:eastAsia="zh-CN"/>
        </w:rPr>
        <w:t>文件要求，</w:t>
      </w:r>
      <w:r>
        <w:rPr>
          <w:rFonts w:hint="eastAsia" w:ascii="Times New Roman" w:hAnsi="Times New Roman" w:eastAsia="仿宋_GB2312" w:cs="Times New Roman"/>
          <w:snapToGrid w:val="0"/>
          <w:color w:val="000000"/>
          <w:kern w:val="0"/>
          <w:sz w:val="32"/>
          <w:szCs w:val="32"/>
          <w:lang w:val="en-US" w:eastAsia="zh-CN"/>
        </w:rPr>
        <w:t>更好的服务全县农村产权交易市场，</w:t>
      </w:r>
      <w:r>
        <w:rPr>
          <w:rFonts w:hint="default" w:ascii="Times New Roman" w:hAnsi="Times New Roman" w:eastAsia="仿宋_GB2312" w:cs="Times New Roman"/>
          <w:snapToGrid w:val="0"/>
          <w:color w:val="000000"/>
          <w:kern w:val="0"/>
          <w:sz w:val="32"/>
          <w:szCs w:val="32"/>
        </w:rPr>
        <w:t>现将</w:t>
      </w:r>
      <w:r>
        <w:rPr>
          <w:rFonts w:hint="eastAsia" w:ascii="Times New Roman" w:hAnsi="Times New Roman" w:eastAsia="仿宋_GB2312" w:cs="Times New Roman"/>
          <w:snapToGrid w:val="0"/>
          <w:color w:val="000000"/>
          <w:kern w:val="0"/>
          <w:sz w:val="32"/>
          <w:szCs w:val="32"/>
          <w:lang w:val="en-US" w:eastAsia="zh-CN"/>
        </w:rPr>
        <w:t>进一步</w:t>
      </w:r>
      <w:r>
        <w:rPr>
          <w:rFonts w:hint="default" w:ascii="Times New Roman" w:hAnsi="Times New Roman" w:eastAsia="仿宋_GB2312" w:cs="Times New Roman"/>
          <w:snapToGrid w:val="0"/>
          <w:color w:val="000000"/>
          <w:kern w:val="0"/>
          <w:sz w:val="32"/>
          <w:szCs w:val="32"/>
          <w:lang w:val="en-US" w:eastAsia="zh-CN"/>
        </w:rPr>
        <w:t>扩大沛县</w:t>
      </w:r>
      <w:r>
        <w:rPr>
          <w:rFonts w:hint="default" w:ascii="Times New Roman" w:hAnsi="Times New Roman" w:eastAsia="仿宋_GB2312" w:cs="Times New Roman"/>
          <w:snapToGrid w:val="0"/>
          <w:color w:val="000000"/>
          <w:kern w:val="0"/>
          <w:sz w:val="32"/>
          <w:szCs w:val="32"/>
        </w:rPr>
        <w:t>农村产权交易</w:t>
      </w:r>
      <w:r>
        <w:rPr>
          <w:rFonts w:hint="default" w:ascii="Times New Roman" w:hAnsi="Times New Roman" w:eastAsia="仿宋_GB2312" w:cs="Times New Roman"/>
          <w:snapToGrid w:val="0"/>
          <w:color w:val="000000"/>
          <w:kern w:val="0"/>
          <w:sz w:val="32"/>
          <w:szCs w:val="32"/>
          <w:lang w:val="en-US" w:eastAsia="zh-CN"/>
        </w:rPr>
        <w:t>第三方</w:t>
      </w:r>
      <w:r>
        <w:rPr>
          <w:rFonts w:hint="default" w:ascii="Times New Roman" w:hAnsi="Times New Roman" w:eastAsia="仿宋_GB2312" w:cs="Times New Roman"/>
          <w:snapToGrid w:val="0"/>
          <w:color w:val="000000"/>
          <w:kern w:val="0"/>
          <w:sz w:val="32"/>
          <w:szCs w:val="32"/>
        </w:rPr>
        <w:t>代理</w:t>
      </w:r>
      <w:r>
        <w:rPr>
          <w:rFonts w:hint="default" w:ascii="Times New Roman" w:hAnsi="Times New Roman" w:eastAsia="仿宋_GB2312" w:cs="Times New Roman"/>
          <w:snapToGrid w:val="0"/>
          <w:color w:val="000000"/>
          <w:kern w:val="0"/>
          <w:sz w:val="32"/>
          <w:szCs w:val="32"/>
          <w:lang w:val="en-US" w:eastAsia="zh-CN"/>
        </w:rPr>
        <w:t>机构遴选工作</w:t>
      </w:r>
      <w:r>
        <w:rPr>
          <w:rFonts w:hint="eastAsia" w:ascii="Times New Roman" w:hAnsi="Times New Roman" w:eastAsia="仿宋_GB2312" w:cs="Times New Roman"/>
          <w:snapToGrid w:val="0"/>
          <w:color w:val="000000"/>
          <w:kern w:val="0"/>
          <w:sz w:val="32"/>
          <w:szCs w:val="32"/>
          <w:lang w:val="en-US" w:eastAsia="zh-CN"/>
        </w:rPr>
        <w:t>的相关事项</w:t>
      </w:r>
      <w:r>
        <w:rPr>
          <w:rFonts w:hint="default" w:ascii="Times New Roman" w:hAnsi="Times New Roman" w:eastAsia="仿宋_GB2312" w:cs="Times New Roman"/>
          <w:snapToGrid w:val="0"/>
          <w:color w:val="000000"/>
          <w:kern w:val="0"/>
          <w:sz w:val="32"/>
          <w:szCs w:val="32"/>
        </w:rPr>
        <w:t>通</w:t>
      </w:r>
      <w:r>
        <w:rPr>
          <w:rFonts w:hint="default" w:ascii="Times New Roman" w:hAnsi="Times New Roman" w:eastAsia="仿宋_GB2312" w:cs="Times New Roman"/>
          <w:snapToGrid w:val="0"/>
          <w:color w:val="000000"/>
          <w:kern w:val="0"/>
          <w:sz w:val="32"/>
          <w:szCs w:val="32"/>
          <w:lang w:val="en-US" w:eastAsia="zh-CN"/>
        </w:rPr>
        <w:t>知</w:t>
      </w:r>
      <w:r>
        <w:rPr>
          <w:rFonts w:hint="default" w:ascii="Times New Roman" w:hAnsi="Times New Roman" w:eastAsia="仿宋_GB2312" w:cs="Times New Roman"/>
          <w:snapToGrid w:val="0"/>
          <w:color w:val="000000"/>
          <w:kern w:val="0"/>
          <w:sz w:val="32"/>
          <w:szCs w:val="32"/>
        </w:rPr>
        <w:t>如下：</w:t>
      </w:r>
    </w:p>
    <w:p>
      <w:pPr>
        <w:keepNext w:val="0"/>
        <w:keepLines w:val="0"/>
        <w:pageBreakBefore w:val="0"/>
        <w:widowControl/>
        <w:kinsoku w:val="0"/>
        <w:wordWrap/>
        <w:overflowPunct/>
        <w:topLinePunct w:val="0"/>
        <w:autoSpaceDE w:val="0"/>
        <w:autoSpaceDN w:val="0"/>
        <w:bidi w:val="0"/>
        <w:adjustRightInd w:val="0"/>
        <w:snapToGrid w:val="0"/>
        <w:spacing w:line="640" w:lineRule="exact"/>
        <w:ind w:right="491" w:firstLine="627" w:firstLineChars="200"/>
        <w:jc w:val="both"/>
        <w:textAlignment w:val="baseline"/>
        <w:rPr>
          <w:rFonts w:hint="default" w:ascii="Times New Roman" w:hAnsi="Times New Roman" w:eastAsia="黑体" w:cs="Times New Roman"/>
          <w:b/>
          <w:bCs/>
          <w:spacing w:val="-4"/>
          <w:sz w:val="32"/>
          <w:szCs w:val="32"/>
        </w:rPr>
      </w:pPr>
      <w:r>
        <w:rPr>
          <w:rFonts w:hint="default" w:ascii="Times New Roman" w:hAnsi="Times New Roman" w:eastAsia="黑体" w:cs="Times New Roman"/>
          <w:b/>
          <w:bCs/>
          <w:spacing w:val="-4"/>
          <w:sz w:val="32"/>
          <w:szCs w:val="32"/>
          <w:lang w:val="en-US" w:eastAsia="zh-CN"/>
        </w:rPr>
        <w:t>一、资格要求</w:t>
      </w:r>
    </w:p>
    <w:p>
      <w:pPr>
        <w:keepNext w:val="0"/>
        <w:keepLines w:val="0"/>
        <w:pageBreakBefore w:val="0"/>
        <w:widowControl/>
        <w:kinsoku w:val="0"/>
        <w:wordWrap/>
        <w:overflowPunct/>
        <w:topLinePunct w:val="0"/>
        <w:autoSpaceDE w:val="0"/>
        <w:autoSpaceDN w:val="0"/>
        <w:bidi w:val="0"/>
        <w:adjustRightInd w:val="0"/>
        <w:snapToGrid w:val="0"/>
        <w:spacing w:line="640" w:lineRule="exact"/>
        <w:ind w:right="527" w:firstLine="664" w:firstLineChars="200"/>
        <w:jc w:val="both"/>
        <w:textAlignment w:val="baseline"/>
        <w:rPr>
          <w:rFonts w:hint="eastAsia" w:ascii="Times New Roman" w:hAnsi="Times New Roman" w:eastAsia="仿宋_GB2312" w:cs="Times New Roman"/>
          <w:spacing w:val="2"/>
          <w:sz w:val="32"/>
          <w:szCs w:val="32"/>
          <w:lang w:val="en-US" w:eastAsia="zh-CN"/>
        </w:rPr>
      </w:pPr>
      <w:r>
        <w:rPr>
          <w:rFonts w:hint="default" w:ascii="Times New Roman" w:hAnsi="Times New Roman" w:eastAsia="仿宋_GB2312" w:cs="Times New Roman"/>
          <w:spacing w:val="6"/>
          <w:sz w:val="32"/>
          <w:szCs w:val="32"/>
          <w:lang w:val="en-US" w:eastAsia="zh-CN"/>
        </w:rPr>
        <w:t>1、</w:t>
      </w:r>
      <w:r>
        <w:rPr>
          <w:rFonts w:hint="eastAsia" w:ascii="Times New Roman" w:hAnsi="Times New Roman" w:eastAsia="仿宋_GB2312" w:cs="Times New Roman"/>
          <w:spacing w:val="6"/>
          <w:sz w:val="32"/>
          <w:szCs w:val="32"/>
          <w:lang w:val="en-US" w:eastAsia="zh-CN"/>
        </w:rPr>
        <w:t>引入</w:t>
      </w:r>
      <w:r>
        <w:rPr>
          <w:rFonts w:hint="default" w:ascii="Times New Roman" w:hAnsi="Times New Roman" w:eastAsia="仿宋_GB2312" w:cs="Times New Roman"/>
          <w:spacing w:val="6"/>
          <w:sz w:val="32"/>
          <w:szCs w:val="32"/>
          <w:lang w:val="en-US" w:eastAsia="zh-CN"/>
        </w:rPr>
        <w:t>政府采购网内省、市协议企业名单</w:t>
      </w:r>
      <w:r>
        <w:rPr>
          <w:rFonts w:hint="eastAsia" w:ascii="Times New Roman" w:hAnsi="Times New Roman" w:eastAsia="仿宋_GB2312" w:cs="Times New Roman"/>
          <w:spacing w:val="6"/>
          <w:sz w:val="32"/>
          <w:szCs w:val="32"/>
          <w:lang w:val="en-US" w:eastAsia="zh-CN"/>
        </w:rPr>
        <w:t>并在沛县财政局列入政府采购监管科登记的招标代理机构。</w:t>
      </w:r>
    </w:p>
    <w:p>
      <w:pPr>
        <w:keepNext w:val="0"/>
        <w:keepLines w:val="0"/>
        <w:pageBreakBefore w:val="0"/>
        <w:widowControl/>
        <w:kinsoku w:val="0"/>
        <w:wordWrap/>
        <w:overflowPunct/>
        <w:topLinePunct w:val="0"/>
        <w:autoSpaceDE w:val="0"/>
        <w:autoSpaceDN w:val="0"/>
        <w:bidi w:val="0"/>
        <w:adjustRightInd w:val="0"/>
        <w:snapToGrid w:val="0"/>
        <w:spacing w:line="640" w:lineRule="exact"/>
        <w:ind w:right="527" w:firstLine="648" w:firstLineChars="200"/>
        <w:jc w:val="both"/>
        <w:textAlignment w:val="baseline"/>
        <w:rPr>
          <w:rFonts w:hint="default" w:ascii="Times New Roman" w:hAnsi="Times New Roman" w:eastAsia="仿宋_GB2312" w:cs="Times New Roman"/>
          <w:spacing w:val="8"/>
          <w:sz w:val="32"/>
          <w:szCs w:val="32"/>
          <w:lang w:eastAsia="zh-CN"/>
        </w:rPr>
      </w:pPr>
      <w:r>
        <w:rPr>
          <w:rFonts w:hint="default" w:ascii="Times New Roman" w:hAnsi="Times New Roman" w:eastAsia="仿宋_GB2312" w:cs="Times New Roman"/>
          <w:spacing w:val="2"/>
          <w:sz w:val="32"/>
          <w:szCs w:val="32"/>
          <w:lang w:val="en-US" w:eastAsia="zh-CN"/>
        </w:rPr>
        <w:t>2、</w:t>
      </w:r>
      <w:r>
        <w:rPr>
          <w:rFonts w:hint="default" w:ascii="Times New Roman" w:hAnsi="Times New Roman" w:eastAsia="仿宋_GB2312" w:cs="Times New Roman"/>
          <w:spacing w:val="8"/>
          <w:sz w:val="32"/>
          <w:szCs w:val="32"/>
        </w:rPr>
        <w:t>在</w:t>
      </w:r>
      <w:r>
        <w:rPr>
          <w:rFonts w:hint="default" w:ascii="Times New Roman" w:hAnsi="Times New Roman" w:eastAsia="仿宋_GB2312" w:cs="Times New Roman"/>
          <w:spacing w:val="8"/>
          <w:sz w:val="32"/>
          <w:szCs w:val="32"/>
          <w:lang w:val="en-US" w:eastAsia="zh-CN"/>
        </w:rPr>
        <w:t>沛县</w:t>
      </w:r>
      <w:r>
        <w:rPr>
          <w:rFonts w:hint="default" w:ascii="Times New Roman" w:hAnsi="Times New Roman" w:eastAsia="仿宋_GB2312" w:cs="Times New Roman"/>
          <w:spacing w:val="8"/>
          <w:sz w:val="32"/>
          <w:szCs w:val="32"/>
        </w:rPr>
        <w:t>具有</w:t>
      </w:r>
      <w:r>
        <w:rPr>
          <w:rFonts w:hint="eastAsia" w:ascii="Times New Roman" w:hAnsi="Times New Roman" w:eastAsia="仿宋_GB2312" w:cs="Times New Roman"/>
          <w:spacing w:val="8"/>
          <w:sz w:val="32"/>
          <w:szCs w:val="32"/>
          <w:lang w:eastAsia="zh-CN"/>
        </w:rPr>
        <w:t>固定</w:t>
      </w:r>
      <w:r>
        <w:rPr>
          <w:rFonts w:hint="default" w:ascii="Times New Roman" w:hAnsi="Times New Roman" w:eastAsia="仿宋_GB2312" w:cs="Times New Roman"/>
          <w:spacing w:val="8"/>
          <w:sz w:val="32"/>
          <w:szCs w:val="32"/>
        </w:rPr>
        <w:t>的</w:t>
      </w:r>
      <w:r>
        <w:rPr>
          <w:rFonts w:hint="eastAsia" w:ascii="Times New Roman" w:hAnsi="Times New Roman" w:eastAsia="仿宋_GB2312" w:cs="Times New Roman"/>
          <w:spacing w:val="8"/>
          <w:sz w:val="32"/>
          <w:szCs w:val="32"/>
          <w:lang w:eastAsia="zh-CN"/>
        </w:rPr>
        <w:t>办公场所和</w:t>
      </w:r>
      <w:r>
        <w:rPr>
          <w:rFonts w:hint="default" w:ascii="Times New Roman" w:hAnsi="Times New Roman" w:eastAsia="仿宋_GB2312" w:cs="Times New Roman"/>
          <w:spacing w:val="8"/>
          <w:sz w:val="32"/>
          <w:szCs w:val="32"/>
        </w:rPr>
        <w:t>开、评标场地</w:t>
      </w:r>
      <w:r>
        <w:rPr>
          <w:rFonts w:hint="default"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8"/>
          <w:sz w:val="32"/>
          <w:szCs w:val="32"/>
          <w:lang w:val="en-US" w:eastAsia="zh-CN"/>
        </w:rPr>
        <w:t>含监控、录音录像</w:t>
      </w:r>
      <w:r>
        <w:rPr>
          <w:rFonts w:hint="eastAsia" w:ascii="Times New Roman" w:hAnsi="Times New Roman" w:eastAsia="仿宋_GB2312" w:cs="Times New Roman"/>
          <w:spacing w:val="8"/>
          <w:sz w:val="32"/>
          <w:szCs w:val="32"/>
          <w:lang w:val="en-US" w:eastAsia="zh-CN"/>
        </w:rPr>
        <w:t>资料储存</w:t>
      </w:r>
      <w:r>
        <w:rPr>
          <w:rFonts w:hint="default" w:ascii="Times New Roman" w:hAnsi="Times New Roman" w:eastAsia="仿宋_GB2312" w:cs="Times New Roman"/>
          <w:spacing w:val="8"/>
          <w:sz w:val="32"/>
          <w:szCs w:val="32"/>
          <w:lang w:val="en-US" w:eastAsia="zh-CN"/>
        </w:rPr>
        <w:t>功能，</w:t>
      </w:r>
      <w:r>
        <w:rPr>
          <w:rFonts w:hint="eastAsia" w:ascii="Times New Roman" w:hAnsi="Times New Roman" w:eastAsia="仿宋_GB2312" w:cs="Times New Roman"/>
          <w:spacing w:val="8"/>
          <w:sz w:val="32"/>
          <w:szCs w:val="32"/>
          <w:lang w:val="en-US" w:eastAsia="zh-CN"/>
        </w:rPr>
        <w:t>办公和</w:t>
      </w:r>
      <w:r>
        <w:rPr>
          <w:rFonts w:hint="default" w:ascii="Times New Roman" w:hAnsi="Times New Roman" w:eastAsia="仿宋_GB2312" w:cs="Times New Roman"/>
          <w:spacing w:val="8"/>
          <w:sz w:val="32"/>
          <w:szCs w:val="32"/>
          <w:lang w:val="en-US" w:eastAsia="zh-CN"/>
        </w:rPr>
        <w:t>开</w:t>
      </w:r>
      <w:r>
        <w:rPr>
          <w:rFonts w:hint="eastAsia" w:ascii="Times New Roman" w:hAnsi="Times New Roman" w:eastAsia="仿宋_GB2312" w:cs="Times New Roman"/>
          <w:spacing w:val="8"/>
          <w:sz w:val="32"/>
          <w:szCs w:val="32"/>
          <w:lang w:val="en-US" w:eastAsia="zh-CN"/>
        </w:rPr>
        <w:t>评</w:t>
      </w:r>
      <w:r>
        <w:rPr>
          <w:rFonts w:hint="default" w:ascii="Times New Roman" w:hAnsi="Times New Roman" w:eastAsia="仿宋_GB2312" w:cs="Times New Roman"/>
          <w:spacing w:val="8"/>
          <w:sz w:val="32"/>
          <w:szCs w:val="32"/>
          <w:lang w:val="en-US" w:eastAsia="zh-CN"/>
        </w:rPr>
        <w:t>标场地不低于</w:t>
      </w:r>
      <w:r>
        <w:rPr>
          <w:rFonts w:hint="eastAsia" w:ascii="Times New Roman" w:hAnsi="Times New Roman" w:eastAsia="仿宋_GB2312" w:cs="Times New Roman"/>
          <w:spacing w:val="8"/>
          <w:sz w:val="32"/>
          <w:szCs w:val="32"/>
          <w:lang w:val="en-US" w:eastAsia="zh-CN"/>
        </w:rPr>
        <w:t>150</w:t>
      </w:r>
      <w:r>
        <w:rPr>
          <w:rFonts w:hint="default" w:ascii="Times New Roman" w:hAnsi="Times New Roman" w:eastAsia="仿宋_GB2312" w:cs="Times New Roman"/>
          <w:spacing w:val="8"/>
          <w:sz w:val="32"/>
          <w:szCs w:val="32"/>
          <w:lang w:val="en-US" w:eastAsia="zh-CN"/>
        </w:rPr>
        <w:t>平方米</w:t>
      </w:r>
      <w:r>
        <w:rPr>
          <w:rFonts w:hint="default" w:ascii="Times New Roman" w:hAnsi="Times New Roman" w:eastAsia="仿宋_GB2312" w:cs="Times New Roman"/>
          <w:spacing w:val="8"/>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640" w:lineRule="exact"/>
        <w:ind w:right="527" w:firstLine="672" w:firstLineChars="200"/>
        <w:jc w:val="both"/>
        <w:textAlignment w:val="baseline"/>
        <w:rPr>
          <w:rFonts w:hint="default" w:ascii="Times New Roman" w:hAnsi="Times New Roman" w:eastAsia="仿宋_GB2312" w:cs="Times New Roman"/>
          <w:spacing w:val="8"/>
          <w:sz w:val="32"/>
          <w:szCs w:val="32"/>
          <w:lang w:val="en-US" w:eastAsia="zh-CN"/>
        </w:rPr>
      </w:pPr>
      <w:r>
        <w:rPr>
          <w:rFonts w:hint="eastAsia" w:ascii="Times New Roman" w:hAnsi="Times New Roman" w:eastAsia="仿宋_GB2312" w:cs="Times New Roman"/>
          <w:spacing w:val="8"/>
          <w:sz w:val="32"/>
          <w:szCs w:val="32"/>
          <w:lang w:val="en-US" w:eastAsia="zh-CN"/>
        </w:rPr>
        <w:t>3、从事招标代理工作的人员须具备相关注册职称资格。</w:t>
      </w:r>
    </w:p>
    <w:p>
      <w:pPr>
        <w:keepNext w:val="0"/>
        <w:keepLines w:val="0"/>
        <w:pageBreakBefore w:val="0"/>
        <w:widowControl/>
        <w:kinsoku w:val="0"/>
        <w:wordWrap/>
        <w:overflowPunct/>
        <w:topLinePunct w:val="0"/>
        <w:autoSpaceDE w:val="0"/>
        <w:autoSpaceDN w:val="0"/>
        <w:bidi w:val="0"/>
        <w:adjustRightInd w:val="0"/>
        <w:snapToGrid w:val="0"/>
        <w:spacing w:line="640" w:lineRule="exact"/>
        <w:ind w:right="491" w:firstLine="674"/>
        <w:jc w:val="both"/>
        <w:textAlignment w:val="baseline"/>
        <w:rPr>
          <w:rFonts w:hint="eastAsia" w:ascii="Times New Roman" w:hAnsi="Times New Roman" w:eastAsia="黑体" w:cs="Times New Roman"/>
          <w:b/>
          <w:bCs/>
          <w:spacing w:val="-4"/>
          <w:sz w:val="32"/>
          <w:szCs w:val="32"/>
          <w:lang w:val="en-US" w:eastAsia="zh-CN"/>
        </w:rPr>
      </w:pPr>
      <w:r>
        <w:rPr>
          <w:rFonts w:hint="eastAsia" w:ascii="Times New Roman" w:hAnsi="Times New Roman" w:eastAsia="黑体" w:cs="Times New Roman"/>
          <w:b/>
          <w:bCs/>
          <w:spacing w:val="-4"/>
          <w:sz w:val="32"/>
          <w:szCs w:val="32"/>
          <w:lang w:val="en-US" w:eastAsia="zh-CN"/>
        </w:rPr>
        <w:t>二、管理要求</w:t>
      </w:r>
    </w:p>
    <w:p>
      <w:pPr>
        <w:keepNext w:val="0"/>
        <w:keepLines w:val="0"/>
        <w:pageBreakBefore w:val="0"/>
        <w:widowControl/>
        <w:kinsoku w:val="0"/>
        <w:wordWrap/>
        <w:overflowPunct/>
        <w:topLinePunct w:val="0"/>
        <w:autoSpaceDE w:val="0"/>
        <w:autoSpaceDN w:val="0"/>
        <w:bidi w:val="0"/>
        <w:adjustRightInd w:val="0"/>
        <w:snapToGrid w:val="0"/>
        <w:spacing w:line="640" w:lineRule="exact"/>
        <w:ind w:right="527" w:firstLine="672" w:firstLineChars="200"/>
        <w:jc w:val="both"/>
        <w:textAlignment w:val="baseline"/>
        <w:rPr>
          <w:rFonts w:hint="eastAsia" w:ascii="Times New Roman" w:hAnsi="Times New Roman" w:eastAsia="仿宋_GB2312" w:cs="Times New Roman"/>
          <w:spacing w:val="8"/>
          <w:sz w:val="32"/>
          <w:szCs w:val="32"/>
          <w:lang w:val="en-US" w:eastAsia="zh-CN"/>
        </w:rPr>
      </w:pPr>
      <w:r>
        <w:rPr>
          <w:rFonts w:hint="eastAsia" w:ascii="Times New Roman" w:hAnsi="Times New Roman" w:eastAsia="仿宋_GB2312" w:cs="Times New Roman"/>
          <w:spacing w:val="8"/>
          <w:sz w:val="32"/>
          <w:szCs w:val="32"/>
          <w:lang w:val="en-US" w:eastAsia="zh-CN"/>
        </w:rPr>
        <w:t>1、涉及农村集体资金的交易项目全部通过江苏省农村产权交易信息服务平台公开发布。</w:t>
      </w:r>
    </w:p>
    <w:p>
      <w:pPr>
        <w:keepNext w:val="0"/>
        <w:keepLines w:val="0"/>
        <w:pageBreakBefore w:val="0"/>
        <w:widowControl/>
        <w:kinsoku w:val="0"/>
        <w:wordWrap/>
        <w:overflowPunct/>
        <w:topLinePunct w:val="0"/>
        <w:autoSpaceDE w:val="0"/>
        <w:autoSpaceDN w:val="0"/>
        <w:bidi w:val="0"/>
        <w:adjustRightInd w:val="0"/>
        <w:snapToGrid w:val="0"/>
        <w:spacing w:line="640" w:lineRule="exact"/>
        <w:ind w:right="527" w:firstLine="672" w:firstLineChars="200"/>
        <w:jc w:val="both"/>
        <w:textAlignment w:val="baseline"/>
        <w:rPr>
          <w:rFonts w:hint="eastAsia" w:ascii="Times New Roman" w:hAnsi="Times New Roman" w:eastAsia="仿宋_GB2312" w:cs="Times New Roman"/>
          <w:spacing w:val="8"/>
          <w:sz w:val="32"/>
          <w:szCs w:val="32"/>
          <w:lang w:val="en-US" w:eastAsia="zh-CN"/>
        </w:rPr>
      </w:pPr>
      <w:r>
        <w:rPr>
          <w:rFonts w:hint="eastAsia" w:ascii="Times New Roman" w:hAnsi="Times New Roman" w:eastAsia="仿宋_GB2312" w:cs="Times New Roman"/>
          <w:spacing w:val="8"/>
          <w:sz w:val="32"/>
          <w:szCs w:val="32"/>
          <w:lang w:val="en-US" w:eastAsia="zh-CN"/>
        </w:rPr>
        <w:t>2、各镇村要采用符合要求并经过备案的代理机构组织开展集体资金项目招投标工作。</w:t>
      </w:r>
    </w:p>
    <w:p>
      <w:pPr>
        <w:keepNext w:val="0"/>
        <w:keepLines w:val="0"/>
        <w:pageBreakBefore w:val="0"/>
        <w:widowControl/>
        <w:kinsoku w:val="0"/>
        <w:wordWrap/>
        <w:overflowPunct/>
        <w:topLinePunct w:val="0"/>
        <w:autoSpaceDE w:val="0"/>
        <w:autoSpaceDN w:val="0"/>
        <w:bidi w:val="0"/>
        <w:adjustRightInd w:val="0"/>
        <w:snapToGrid w:val="0"/>
        <w:spacing w:line="640" w:lineRule="exact"/>
        <w:ind w:right="527" w:firstLine="672" w:firstLineChars="200"/>
        <w:jc w:val="both"/>
        <w:textAlignment w:val="baseline"/>
        <w:rPr>
          <w:rFonts w:hint="default" w:ascii="Times New Roman" w:hAnsi="Times New Roman" w:eastAsia="仿宋_GB2312" w:cs="Times New Roman"/>
          <w:spacing w:val="8"/>
          <w:sz w:val="32"/>
          <w:szCs w:val="32"/>
          <w:lang w:val="en-US" w:eastAsia="zh-CN"/>
        </w:rPr>
      </w:pPr>
      <w:r>
        <w:rPr>
          <w:rFonts w:hint="eastAsia" w:ascii="Times New Roman" w:hAnsi="Times New Roman" w:eastAsia="仿宋_GB2312" w:cs="Times New Roman"/>
          <w:spacing w:val="8"/>
          <w:sz w:val="32"/>
          <w:szCs w:val="32"/>
          <w:lang w:val="en-US" w:eastAsia="zh-CN"/>
        </w:rPr>
        <w:t>3、符合条件的代理机构随时向沛县农村综合产权流转交易中心申请登记备案并接受统一管理，沛县农村综合产权流转交易中心在江苏省农村产权交易信息服务平台即时公布备案名单；出现失信行为的列入“黑名单”。</w:t>
      </w:r>
    </w:p>
    <w:p>
      <w:pPr>
        <w:keepNext w:val="0"/>
        <w:keepLines w:val="0"/>
        <w:pageBreakBefore w:val="0"/>
        <w:widowControl/>
        <w:kinsoku w:val="0"/>
        <w:wordWrap/>
        <w:overflowPunct/>
        <w:topLinePunct w:val="0"/>
        <w:autoSpaceDE w:val="0"/>
        <w:autoSpaceDN w:val="0"/>
        <w:bidi w:val="0"/>
        <w:adjustRightInd w:val="0"/>
        <w:snapToGrid w:val="0"/>
        <w:spacing w:line="640" w:lineRule="exact"/>
        <w:ind w:right="491" w:firstLine="674"/>
        <w:jc w:val="both"/>
        <w:textAlignment w:val="baseline"/>
        <w:rPr>
          <w:rFonts w:hint="eastAsia" w:ascii="Times New Roman" w:hAnsi="Times New Roman" w:eastAsia="黑体" w:cs="Times New Roman"/>
          <w:b/>
          <w:bCs/>
          <w:spacing w:val="-4"/>
          <w:sz w:val="32"/>
          <w:szCs w:val="32"/>
          <w:lang w:val="en-US" w:eastAsia="zh-CN"/>
        </w:rPr>
      </w:pPr>
      <w:r>
        <w:rPr>
          <w:rFonts w:hint="eastAsia" w:ascii="Times New Roman" w:hAnsi="Times New Roman" w:eastAsia="黑体" w:cs="Times New Roman"/>
          <w:b/>
          <w:bCs/>
          <w:spacing w:val="-4"/>
          <w:sz w:val="32"/>
          <w:szCs w:val="32"/>
          <w:lang w:val="en-US" w:eastAsia="zh-CN"/>
        </w:rPr>
        <w:t>三</w:t>
      </w:r>
      <w:r>
        <w:rPr>
          <w:rFonts w:hint="default" w:ascii="Times New Roman" w:hAnsi="Times New Roman" w:eastAsia="黑体" w:cs="Times New Roman"/>
          <w:b/>
          <w:bCs/>
          <w:spacing w:val="-4"/>
          <w:sz w:val="32"/>
          <w:szCs w:val="32"/>
          <w:lang w:val="en-US" w:eastAsia="zh-CN"/>
        </w:rPr>
        <w:t>、</w:t>
      </w:r>
      <w:r>
        <w:rPr>
          <w:rFonts w:hint="eastAsia" w:ascii="Times New Roman" w:hAnsi="Times New Roman" w:eastAsia="黑体" w:cs="Times New Roman"/>
          <w:b/>
          <w:bCs/>
          <w:spacing w:val="-4"/>
          <w:sz w:val="32"/>
          <w:szCs w:val="32"/>
          <w:lang w:val="en-US" w:eastAsia="zh-CN"/>
        </w:rPr>
        <w:t>其他事项</w:t>
      </w:r>
    </w:p>
    <w:p>
      <w:pPr>
        <w:keepNext w:val="0"/>
        <w:keepLines w:val="0"/>
        <w:pageBreakBefore w:val="0"/>
        <w:widowControl/>
        <w:kinsoku w:val="0"/>
        <w:wordWrap/>
        <w:overflowPunct/>
        <w:topLinePunct w:val="0"/>
        <w:autoSpaceDE w:val="0"/>
        <w:autoSpaceDN w:val="0"/>
        <w:bidi w:val="0"/>
        <w:adjustRightInd w:val="0"/>
        <w:snapToGrid w:val="0"/>
        <w:spacing w:line="640" w:lineRule="exact"/>
        <w:ind w:right="491" w:firstLine="674"/>
        <w:jc w:val="both"/>
        <w:textAlignment w:val="baseline"/>
        <w:rPr>
          <w:rFonts w:hint="default" w:ascii="Times New Roman" w:hAnsi="Times New Roman" w:eastAsia="仿宋_GB2312" w:cs="Times New Roman"/>
          <w:sz w:val="32"/>
          <w:szCs w:val="32"/>
        </w:rPr>
      </w:pPr>
      <w:r>
        <w:rPr>
          <w:rFonts w:hint="eastAsia" w:ascii="仿宋_GB2312" w:hAnsi="仿宋_GB2312" w:eastAsia="仿宋_GB2312" w:cs="仿宋_GB2312"/>
          <w:b w:val="0"/>
          <w:bCs w:val="0"/>
          <w:spacing w:val="-4"/>
          <w:sz w:val="32"/>
          <w:szCs w:val="32"/>
          <w:lang w:val="en-US" w:eastAsia="zh-CN"/>
        </w:rPr>
        <w:t>需要备案的代理机构向沛县农村综合产权流转交易中心提交第三方代理机构基本情况表（详见附件），</w:t>
      </w:r>
      <w:r>
        <w:rPr>
          <w:rFonts w:hint="eastAsia" w:ascii="Times New Roman" w:hAnsi="Times New Roman" w:eastAsia="仿宋_GB2312" w:cs="Times New Roman"/>
          <w:sz w:val="32"/>
          <w:szCs w:val="32"/>
          <w:lang w:val="en-US" w:eastAsia="zh-CN"/>
        </w:rPr>
        <w:t>备案</w:t>
      </w:r>
      <w:r>
        <w:rPr>
          <w:rFonts w:hint="default" w:ascii="Times New Roman" w:hAnsi="Times New Roman" w:eastAsia="仿宋_GB2312" w:cs="Times New Roman"/>
          <w:sz w:val="32"/>
          <w:szCs w:val="32"/>
          <w:lang w:val="en-US" w:eastAsia="zh-CN"/>
        </w:rPr>
        <w:t>地点：沛县农村综合产权流转交易中心（沛县政务服务中心西楼318</w:t>
      </w:r>
      <w:r>
        <w:rPr>
          <w:rFonts w:hint="eastAsia" w:ascii="Times New Roman" w:hAnsi="Times New Roman" w:eastAsia="仿宋_GB2312" w:cs="Times New Roman"/>
          <w:sz w:val="32"/>
          <w:szCs w:val="32"/>
          <w:lang w:val="en-US" w:eastAsia="zh-CN"/>
        </w:rPr>
        <w:t>房间</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eastAsia="zh-CN"/>
        </w:rPr>
        <w:t>联系</w:t>
      </w:r>
      <w:r>
        <w:rPr>
          <w:rFonts w:hint="default" w:ascii="Times New Roman" w:hAnsi="Times New Roman" w:eastAsia="仿宋_GB2312" w:cs="Times New Roman"/>
          <w:sz w:val="32"/>
          <w:szCs w:val="32"/>
        </w:rPr>
        <w:t>电话：0516-89887388</w:t>
      </w:r>
    </w:p>
    <w:p>
      <w:pPr>
        <w:spacing w:before="210" w:line="219" w:lineRule="auto"/>
        <w:ind w:firstLine="640"/>
        <w:rPr>
          <w:rFonts w:hint="default" w:ascii="Times New Roman" w:hAnsi="Times New Roman" w:eastAsia="仿宋_GB2312" w:cs="Times New Roman"/>
          <w:sz w:val="32"/>
          <w:szCs w:val="32"/>
        </w:rPr>
      </w:pPr>
    </w:p>
    <w:p>
      <w:pPr>
        <w:spacing w:before="210" w:line="219" w:lineRule="auto"/>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w:t>
      </w:r>
    </w:p>
    <w:p>
      <w:pPr>
        <w:spacing w:before="210" w:line="219" w:lineRule="auto"/>
        <w:ind w:left="783"/>
        <w:rPr>
          <w:rFonts w:hint="default" w:ascii="Times New Roman" w:hAnsi="Times New Roman" w:eastAsia="仿宋_GB2312" w:cs="Times New Roman"/>
          <w:sz w:val="32"/>
          <w:szCs w:val="32"/>
        </w:rPr>
      </w:pPr>
    </w:p>
    <w:p>
      <w:pPr>
        <w:spacing w:before="210" w:line="219" w:lineRule="auto"/>
        <w:ind w:left="78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p>
    <w:p>
      <w:pPr>
        <w:spacing w:before="210" w:line="219" w:lineRule="auto"/>
        <w:ind w:left="783"/>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p>
    <w:p>
      <w:pPr>
        <w:spacing w:before="210" w:line="219" w:lineRule="auto"/>
        <w:ind w:left="783"/>
        <w:rPr>
          <w:rFonts w:hint="default" w:ascii="Times New Roman" w:hAnsi="Times New Roman" w:eastAsia="仿宋_GB2312" w:cs="Times New Roman"/>
          <w:sz w:val="32"/>
          <w:szCs w:val="32"/>
          <w:lang w:val="en-US" w:eastAsia="zh-CN"/>
        </w:rPr>
      </w:pPr>
    </w:p>
    <w:p>
      <w:pPr>
        <w:spacing w:before="210" w:line="219" w:lineRule="auto"/>
        <w:ind w:firstLine="5440" w:firstLineChars="17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沛县农业农村局 </w:t>
      </w:r>
    </w:p>
    <w:p>
      <w:pPr>
        <w:spacing w:before="210" w:line="219" w:lineRule="auto"/>
        <w:ind w:left="783" w:firstLine="4800" w:firstLineChars="1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w:t>
      </w:r>
    </w:p>
    <w:p/>
    <w:p/>
    <w:p/>
    <w:p/>
    <w:p/>
    <w:p/>
    <w:p/>
    <w:p/>
    <w:p/>
    <w:p/>
    <w:p/>
    <w:p/>
    <w:p>
      <w:pPr>
        <w:adjustRightInd w:val="0"/>
        <w:snapToGrid w:val="0"/>
        <w:spacing w:line="560" w:lineRule="exact"/>
        <w:jc w:val="left"/>
        <w:rPr>
          <w:rFonts w:hint="eastAsia" w:hAnsi="仿宋" w:eastAsia="仿宋"/>
          <w:sz w:val="32"/>
          <w:szCs w:val="32"/>
          <w:lang w:eastAsia="zh-CN"/>
        </w:rPr>
      </w:pPr>
      <w:r>
        <w:rPr>
          <w:rFonts w:hint="eastAsia" w:hAnsi="仿宋" w:eastAsia="仿宋"/>
          <w:sz w:val="32"/>
          <w:szCs w:val="32"/>
        </w:rPr>
        <w:t>附件</w:t>
      </w:r>
      <w:r>
        <w:rPr>
          <w:rFonts w:hint="eastAsia" w:hAnsi="仿宋" w:eastAsia="仿宋"/>
          <w:sz w:val="32"/>
          <w:szCs w:val="32"/>
          <w:lang w:eastAsia="zh-CN"/>
        </w:rPr>
        <w:t>：</w:t>
      </w:r>
    </w:p>
    <w:p>
      <w:pPr>
        <w:spacing w:after="156" w:afterLines="50" w:line="560" w:lineRule="exact"/>
        <w:jc w:val="center"/>
        <w:rPr>
          <w:rFonts w:hint="eastAsia" w:ascii="方正小标宋_GBK" w:hAnsi="宋体" w:eastAsia="方正小标宋_GBK" w:cs="宋体"/>
          <w:bCs/>
          <w:sz w:val="36"/>
          <w:szCs w:val="36"/>
        </w:rPr>
      </w:pPr>
      <w:r>
        <w:rPr>
          <w:rFonts w:hint="eastAsia" w:ascii="方正小标宋_GBK" w:hAnsi="宋体" w:eastAsia="方正小标宋_GBK" w:cs="宋体"/>
          <w:bCs/>
          <w:sz w:val="36"/>
          <w:szCs w:val="36"/>
        </w:rPr>
        <w:t>第三方代理机构基本情况表</w:t>
      </w:r>
    </w:p>
    <w:p>
      <w:pPr>
        <w:spacing w:after="156" w:afterLines="50" w:line="560" w:lineRule="exact"/>
        <w:jc w:val="both"/>
        <w:rPr>
          <w:rFonts w:hint="eastAsia" w:ascii="方正小标宋_GBK" w:hAnsi="宋体" w:eastAsia="方正小标宋_GBK" w:cs="宋体"/>
          <w:bCs/>
          <w:sz w:val="24"/>
          <w:szCs w:val="24"/>
          <w:lang w:eastAsia="zh-CN"/>
        </w:rPr>
      </w:pPr>
      <w:r>
        <w:rPr>
          <w:rFonts w:hint="eastAsia" w:ascii="方正小标宋_GBK" w:hAnsi="宋体" w:eastAsia="方正小标宋_GBK" w:cs="宋体"/>
          <w:bCs/>
          <w:sz w:val="24"/>
          <w:szCs w:val="24"/>
          <w:lang w:eastAsia="zh-CN"/>
        </w:rPr>
        <w:t>盖章：</w:t>
      </w:r>
    </w:p>
    <w:p>
      <w:pPr>
        <w:spacing w:after="156" w:afterLines="50" w:line="160" w:lineRule="exact"/>
        <w:jc w:val="center"/>
        <w:rPr>
          <w:rFonts w:hint="eastAsia" w:ascii="方正小标宋_GBK" w:eastAsia="方正小标宋_GBK"/>
          <w:bCs/>
          <w:sz w:val="18"/>
          <w:szCs w:val="18"/>
        </w:rPr>
      </w:pPr>
    </w:p>
    <w:tbl>
      <w:tblPr>
        <w:tblStyle w:val="3"/>
        <w:tblW w:w="84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2366"/>
        <w:gridCol w:w="2020"/>
        <w:gridCol w:w="2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646" w:type="dxa"/>
            <w:noWrap/>
            <w:vAlign w:val="center"/>
          </w:tcPr>
          <w:p>
            <w:pPr>
              <w:widowControl/>
              <w:adjustRightInd w:val="0"/>
              <w:snapToGrid w:val="0"/>
              <w:jc w:val="center"/>
              <w:textAlignment w:val="center"/>
              <w:rPr>
                <w:color w:val="000000"/>
                <w:szCs w:val="21"/>
              </w:rPr>
            </w:pPr>
            <w:r>
              <w:rPr>
                <w:rFonts w:hAnsi="宋体"/>
                <w:color w:val="000000"/>
                <w:szCs w:val="21"/>
              </w:rPr>
              <w:t>机构名称</w:t>
            </w:r>
          </w:p>
        </w:tc>
        <w:tc>
          <w:tcPr>
            <w:tcW w:w="2366" w:type="dxa"/>
            <w:noWrap/>
            <w:vAlign w:val="center"/>
          </w:tcPr>
          <w:p>
            <w:pPr>
              <w:adjustRightInd w:val="0"/>
              <w:snapToGrid w:val="0"/>
              <w:jc w:val="center"/>
              <w:rPr>
                <w:color w:val="000000"/>
                <w:szCs w:val="21"/>
              </w:rPr>
            </w:pPr>
          </w:p>
        </w:tc>
        <w:tc>
          <w:tcPr>
            <w:tcW w:w="2020" w:type="dxa"/>
            <w:noWrap/>
            <w:vAlign w:val="center"/>
          </w:tcPr>
          <w:p>
            <w:pPr>
              <w:widowControl/>
              <w:adjustRightInd w:val="0"/>
              <w:snapToGrid w:val="0"/>
              <w:jc w:val="center"/>
              <w:textAlignment w:val="center"/>
              <w:rPr>
                <w:rFonts w:hAnsi="宋体"/>
                <w:color w:val="000000"/>
                <w:kern w:val="0"/>
                <w:szCs w:val="21"/>
                <w:lang w:bidi="ar"/>
              </w:rPr>
            </w:pPr>
            <w:r>
              <w:rPr>
                <w:rFonts w:hAnsi="宋体"/>
                <w:color w:val="000000"/>
                <w:kern w:val="0"/>
                <w:szCs w:val="21"/>
                <w:lang w:bidi="ar"/>
              </w:rPr>
              <w:t>统一社会信用代码</w:t>
            </w:r>
          </w:p>
          <w:p>
            <w:pPr>
              <w:widowControl/>
              <w:adjustRightInd w:val="0"/>
              <w:snapToGrid w:val="0"/>
              <w:jc w:val="center"/>
              <w:textAlignment w:val="center"/>
              <w:rPr>
                <w:color w:val="000000"/>
                <w:szCs w:val="21"/>
              </w:rPr>
            </w:pPr>
            <w:r>
              <w:rPr>
                <w:rFonts w:hAnsi="宋体"/>
                <w:color w:val="000000"/>
                <w:kern w:val="0"/>
                <w:szCs w:val="21"/>
                <w:lang w:bidi="ar"/>
              </w:rPr>
              <w:t>（组织机构代码）</w:t>
            </w:r>
          </w:p>
        </w:tc>
        <w:tc>
          <w:tcPr>
            <w:tcW w:w="2424" w:type="dxa"/>
            <w:noWrap/>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6" w:type="dxa"/>
            <w:noWrap/>
            <w:vAlign w:val="center"/>
          </w:tcPr>
          <w:p>
            <w:pPr>
              <w:widowControl/>
              <w:adjustRightInd w:val="0"/>
              <w:snapToGrid w:val="0"/>
              <w:jc w:val="center"/>
              <w:textAlignment w:val="center"/>
              <w:rPr>
                <w:color w:val="000000"/>
                <w:szCs w:val="21"/>
              </w:rPr>
            </w:pPr>
            <w:r>
              <w:rPr>
                <w:rFonts w:hAnsi="宋体"/>
                <w:color w:val="000000"/>
                <w:kern w:val="0"/>
                <w:szCs w:val="21"/>
                <w:lang w:bidi="ar"/>
              </w:rPr>
              <w:t>法人姓名</w:t>
            </w:r>
          </w:p>
        </w:tc>
        <w:tc>
          <w:tcPr>
            <w:tcW w:w="2366" w:type="dxa"/>
            <w:noWrap/>
            <w:vAlign w:val="center"/>
          </w:tcPr>
          <w:p>
            <w:pPr>
              <w:adjustRightInd w:val="0"/>
              <w:snapToGrid w:val="0"/>
              <w:jc w:val="center"/>
              <w:rPr>
                <w:color w:val="000000"/>
                <w:szCs w:val="21"/>
              </w:rPr>
            </w:pPr>
          </w:p>
        </w:tc>
        <w:tc>
          <w:tcPr>
            <w:tcW w:w="2020" w:type="dxa"/>
            <w:noWrap/>
            <w:vAlign w:val="center"/>
          </w:tcPr>
          <w:p>
            <w:pPr>
              <w:adjustRightInd w:val="0"/>
              <w:snapToGrid w:val="0"/>
              <w:jc w:val="center"/>
              <w:rPr>
                <w:color w:val="000000"/>
                <w:szCs w:val="21"/>
              </w:rPr>
            </w:pPr>
            <w:r>
              <w:rPr>
                <w:rFonts w:hAnsi="宋体"/>
                <w:color w:val="000000"/>
                <w:szCs w:val="21"/>
              </w:rPr>
              <w:t>联系电话</w:t>
            </w:r>
          </w:p>
        </w:tc>
        <w:tc>
          <w:tcPr>
            <w:tcW w:w="2424" w:type="dxa"/>
            <w:noWrap/>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6" w:type="dxa"/>
            <w:noWrap/>
            <w:vAlign w:val="center"/>
          </w:tcPr>
          <w:p>
            <w:pPr>
              <w:widowControl/>
              <w:adjustRightInd w:val="0"/>
              <w:snapToGrid w:val="0"/>
              <w:jc w:val="center"/>
              <w:textAlignment w:val="center"/>
              <w:rPr>
                <w:color w:val="000000"/>
                <w:kern w:val="0"/>
                <w:szCs w:val="21"/>
                <w:lang w:bidi="ar"/>
              </w:rPr>
            </w:pPr>
            <w:r>
              <w:rPr>
                <w:rFonts w:hAnsi="宋体"/>
                <w:color w:val="000000"/>
                <w:kern w:val="0"/>
                <w:szCs w:val="21"/>
                <w:lang w:bidi="ar"/>
              </w:rPr>
              <w:t>联系人</w:t>
            </w:r>
            <w:r>
              <w:rPr>
                <w:rFonts w:hint="eastAsia" w:hAnsi="宋体"/>
                <w:color w:val="000000"/>
                <w:kern w:val="0"/>
                <w:szCs w:val="21"/>
                <w:lang w:bidi="ar"/>
              </w:rPr>
              <w:t>姓名</w:t>
            </w:r>
          </w:p>
        </w:tc>
        <w:tc>
          <w:tcPr>
            <w:tcW w:w="2366" w:type="dxa"/>
            <w:noWrap/>
            <w:vAlign w:val="center"/>
          </w:tcPr>
          <w:p>
            <w:pPr>
              <w:adjustRightInd w:val="0"/>
              <w:snapToGrid w:val="0"/>
              <w:jc w:val="center"/>
              <w:rPr>
                <w:color w:val="000000"/>
                <w:szCs w:val="21"/>
              </w:rPr>
            </w:pPr>
          </w:p>
        </w:tc>
        <w:tc>
          <w:tcPr>
            <w:tcW w:w="2020" w:type="dxa"/>
            <w:noWrap/>
            <w:vAlign w:val="center"/>
          </w:tcPr>
          <w:p>
            <w:pPr>
              <w:adjustRightInd w:val="0"/>
              <w:snapToGrid w:val="0"/>
              <w:jc w:val="center"/>
              <w:rPr>
                <w:color w:val="000000"/>
                <w:szCs w:val="21"/>
              </w:rPr>
            </w:pPr>
            <w:r>
              <w:rPr>
                <w:rFonts w:hAnsi="宋体"/>
                <w:color w:val="000000"/>
                <w:szCs w:val="21"/>
              </w:rPr>
              <w:t>联系电话</w:t>
            </w:r>
          </w:p>
        </w:tc>
        <w:tc>
          <w:tcPr>
            <w:tcW w:w="2424" w:type="dxa"/>
            <w:noWrap/>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46" w:type="dxa"/>
            <w:noWrap/>
            <w:vAlign w:val="center"/>
          </w:tcPr>
          <w:p>
            <w:pPr>
              <w:widowControl/>
              <w:adjustRightInd w:val="0"/>
              <w:snapToGrid w:val="0"/>
              <w:jc w:val="center"/>
              <w:textAlignment w:val="center"/>
              <w:rPr>
                <w:color w:val="000000"/>
                <w:szCs w:val="21"/>
              </w:rPr>
            </w:pPr>
            <w:r>
              <w:rPr>
                <w:rFonts w:hAnsi="宋体"/>
                <w:color w:val="000000"/>
                <w:kern w:val="0"/>
                <w:szCs w:val="21"/>
                <w:lang w:bidi="ar"/>
              </w:rPr>
              <w:t>联系地址</w:t>
            </w:r>
          </w:p>
        </w:tc>
        <w:tc>
          <w:tcPr>
            <w:tcW w:w="6810" w:type="dxa"/>
            <w:gridSpan w:val="3"/>
            <w:noWrap/>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646" w:type="dxa"/>
            <w:noWrap/>
            <w:vAlign w:val="center"/>
          </w:tcPr>
          <w:p>
            <w:pPr>
              <w:widowControl/>
              <w:adjustRightInd w:val="0"/>
              <w:snapToGrid w:val="0"/>
              <w:jc w:val="center"/>
              <w:textAlignment w:val="center"/>
              <w:rPr>
                <w:color w:val="000000"/>
                <w:szCs w:val="21"/>
              </w:rPr>
            </w:pPr>
            <w:r>
              <w:rPr>
                <w:rFonts w:hAnsi="宋体"/>
                <w:color w:val="000000"/>
                <w:kern w:val="0"/>
                <w:szCs w:val="21"/>
                <w:lang w:bidi="ar"/>
              </w:rPr>
              <w:t>评审场所地址</w:t>
            </w:r>
          </w:p>
        </w:tc>
        <w:tc>
          <w:tcPr>
            <w:tcW w:w="2366" w:type="dxa"/>
            <w:noWrap/>
            <w:vAlign w:val="center"/>
          </w:tcPr>
          <w:p>
            <w:pPr>
              <w:adjustRightInd w:val="0"/>
              <w:snapToGrid w:val="0"/>
              <w:jc w:val="center"/>
              <w:rPr>
                <w:color w:val="000000"/>
                <w:szCs w:val="21"/>
              </w:rPr>
            </w:pPr>
          </w:p>
        </w:tc>
        <w:tc>
          <w:tcPr>
            <w:tcW w:w="2020" w:type="dxa"/>
            <w:noWrap/>
            <w:vAlign w:val="center"/>
          </w:tcPr>
          <w:p>
            <w:pPr>
              <w:adjustRightInd w:val="0"/>
              <w:snapToGrid w:val="0"/>
              <w:jc w:val="center"/>
              <w:rPr>
                <w:color w:val="000000"/>
                <w:szCs w:val="21"/>
              </w:rPr>
            </w:pPr>
            <w:r>
              <w:rPr>
                <w:rFonts w:hAnsi="宋体"/>
                <w:color w:val="000000"/>
                <w:szCs w:val="21"/>
              </w:rPr>
              <w:t>评审面积</w:t>
            </w:r>
          </w:p>
        </w:tc>
        <w:tc>
          <w:tcPr>
            <w:tcW w:w="2424" w:type="dxa"/>
            <w:noWrap/>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646" w:type="dxa"/>
            <w:noWrap/>
            <w:vAlign w:val="center"/>
          </w:tcPr>
          <w:p>
            <w:pPr>
              <w:widowControl/>
              <w:adjustRightInd w:val="0"/>
              <w:snapToGrid w:val="0"/>
              <w:jc w:val="center"/>
              <w:textAlignment w:val="center"/>
              <w:rPr>
                <w:color w:val="000000"/>
                <w:szCs w:val="21"/>
              </w:rPr>
            </w:pPr>
            <w:r>
              <w:rPr>
                <w:rFonts w:hAnsi="宋体"/>
                <w:color w:val="000000"/>
                <w:kern w:val="0"/>
                <w:szCs w:val="21"/>
                <w:lang w:bidi="ar"/>
              </w:rPr>
              <w:t>首次登记日期</w:t>
            </w:r>
          </w:p>
        </w:tc>
        <w:tc>
          <w:tcPr>
            <w:tcW w:w="2366" w:type="dxa"/>
            <w:noWrap/>
            <w:vAlign w:val="center"/>
          </w:tcPr>
          <w:p>
            <w:pPr>
              <w:adjustRightInd w:val="0"/>
              <w:snapToGrid w:val="0"/>
              <w:jc w:val="center"/>
              <w:rPr>
                <w:color w:val="000000"/>
                <w:szCs w:val="21"/>
              </w:rPr>
            </w:pPr>
          </w:p>
        </w:tc>
        <w:tc>
          <w:tcPr>
            <w:tcW w:w="2020" w:type="dxa"/>
            <w:noWrap/>
            <w:vAlign w:val="center"/>
          </w:tcPr>
          <w:p>
            <w:pPr>
              <w:adjustRightInd w:val="0"/>
              <w:snapToGrid w:val="0"/>
              <w:jc w:val="center"/>
              <w:rPr>
                <w:color w:val="000000"/>
                <w:szCs w:val="21"/>
              </w:rPr>
            </w:pPr>
            <w:r>
              <w:rPr>
                <w:rFonts w:hAnsi="宋体"/>
                <w:color w:val="000000"/>
                <w:szCs w:val="21"/>
              </w:rPr>
              <w:t>登记地点</w:t>
            </w:r>
          </w:p>
        </w:tc>
        <w:tc>
          <w:tcPr>
            <w:tcW w:w="2424" w:type="dxa"/>
            <w:noWrap/>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646" w:type="dxa"/>
            <w:noWrap/>
            <w:vAlign w:val="center"/>
          </w:tcPr>
          <w:p>
            <w:pPr>
              <w:widowControl/>
              <w:adjustRightInd w:val="0"/>
              <w:snapToGrid w:val="0"/>
              <w:jc w:val="center"/>
              <w:textAlignment w:val="center"/>
              <w:rPr>
                <w:rFonts w:hint="eastAsia" w:hAnsi="宋体"/>
                <w:color w:val="000000"/>
                <w:kern w:val="0"/>
                <w:szCs w:val="21"/>
                <w:lang w:bidi="ar"/>
              </w:rPr>
            </w:pPr>
            <w:r>
              <w:rPr>
                <w:rFonts w:hAnsi="宋体"/>
                <w:color w:val="000000"/>
                <w:kern w:val="0"/>
                <w:szCs w:val="21"/>
                <w:lang w:bidi="ar"/>
              </w:rPr>
              <w:t>近三年有无</w:t>
            </w:r>
          </w:p>
          <w:p>
            <w:pPr>
              <w:widowControl/>
              <w:adjustRightInd w:val="0"/>
              <w:snapToGrid w:val="0"/>
              <w:jc w:val="center"/>
              <w:textAlignment w:val="center"/>
              <w:rPr>
                <w:color w:val="000000"/>
                <w:kern w:val="0"/>
                <w:szCs w:val="21"/>
                <w:lang w:bidi="ar"/>
              </w:rPr>
            </w:pPr>
            <w:r>
              <w:rPr>
                <w:rFonts w:hAnsi="宋体"/>
                <w:color w:val="000000"/>
                <w:kern w:val="0"/>
                <w:szCs w:val="21"/>
                <w:lang w:bidi="ar"/>
              </w:rPr>
              <w:t>重大违法记录</w:t>
            </w:r>
          </w:p>
        </w:tc>
        <w:tc>
          <w:tcPr>
            <w:tcW w:w="6810" w:type="dxa"/>
            <w:gridSpan w:val="3"/>
            <w:noWrap/>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46" w:type="dxa"/>
            <w:noWrap/>
            <w:vAlign w:val="center"/>
          </w:tcPr>
          <w:p>
            <w:pPr>
              <w:widowControl/>
              <w:adjustRightInd w:val="0"/>
              <w:snapToGrid w:val="0"/>
              <w:jc w:val="center"/>
              <w:textAlignment w:val="center"/>
              <w:rPr>
                <w:rFonts w:hAnsi="宋体"/>
                <w:color w:val="000000"/>
                <w:kern w:val="0"/>
                <w:szCs w:val="21"/>
                <w:lang w:bidi="ar"/>
              </w:rPr>
            </w:pPr>
            <w:r>
              <w:rPr>
                <w:rFonts w:hAnsi="宋体"/>
                <w:color w:val="000000"/>
                <w:kern w:val="0"/>
                <w:szCs w:val="21"/>
                <w:lang w:bidi="ar"/>
              </w:rPr>
              <w:t>擅长的</w:t>
            </w:r>
          </w:p>
          <w:p>
            <w:pPr>
              <w:widowControl/>
              <w:adjustRightInd w:val="0"/>
              <w:snapToGrid w:val="0"/>
              <w:jc w:val="center"/>
              <w:textAlignment w:val="center"/>
              <w:rPr>
                <w:color w:val="000000"/>
                <w:kern w:val="0"/>
                <w:szCs w:val="21"/>
                <w:lang w:bidi="ar"/>
              </w:rPr>
            </w:pPr>
            <w:r>
              <w:rPr>
                <w:rFonts w:hAnsi="宋体"/>
                <w:color w:val="000000"/>
                <w:kern w:val="0"/>
                <w:szCs w:val="21"/>
                <w:lang w:bidi="ar"/>
              </w:rPr>
              <w:t>专业领域</w:t>
            </w:r>
          </w:p>
        </w:tc>
        <w:tc>
          <w:tcPr>
            <w:tcW w:w="6810" w:type="dxa"/>
            <w:gridSpan w:val="3"/>
            <w:noWrap/>
            <w:vAlign w:val="center"/>
          </w:tcPr>
          <w:p>
            <w:pPr>
              <w:adjustRightInd w:val="0"/>
              <w:snapToGrid w:val="0"/>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4" w:hRule="atLeast"/>
        </w:trPr>
        <w:tc>
          <w:tcPr>
            <w:tcW w:w="1646" w:type="dxa"/>
            <w:noWrap/>
            <w:vAlign w:val="center"/>
          </w:tcPr>
          <w:p>
            <w:pPr>
              <w:widowControl/>
              <w:adjustRightInd w:val="0"/>
              <w:snapToGrid w:val="0"/>
              <w:jc w:val="center"/>
              <w:textAlignment w:val="center"/>
              <w:rPr>
                <w:color w:val="000000"/>
                <w:kern w:val="0"/>
                <w:szCs w:val="21"/>
                <w:lang w:bidi="ar"/>
              </w:rPr>
            </w:pPr>
            <w:r>
              <w:rPr>
                <w:rFonts w:hAnsi="宋体"/>
                <w:color w:val="000000"/>
                <w:kern w:val="0"/>
                <w:szCs w:val="21"/>
                <w:lang w:bidi="ar"/>
              </w:rPr>
              <w:t>机构简介</w:t>
            </w:r>
          </w:p>
        </w:tc>
        <w:tc>
          <w:tcPr>
            <w:tcW w:w="6810" w:type="dxa"/>
            <w:gridSpan w:val="3"/>
            <w:noWrap/>
            <w:vAlign w:val="center"/>
          </w:tcPr>
          <w:p>
            <w:pPr>
              <w:adjustRightInd w:val="0"/>
              <w:snapToGrid w:val="0"/>
              <w:jc w:val="center"/>
              <w:rPr>
                <w:color w:val="000000"/>
                <w:szCs w:val="21"/>
              </w:rPr>
            </w:pPr>
            <w:bookmarkStart w:id="0" w:name="_GoBack"/>
            <w:bookmarkEnd w:id="0"/>
          </w:p>
        </w:tc>
      </w:tr>
    </w:tbl>
    <w:p>
      <w:pPr>
        <w:rPr>
          <w:rFonts w:hint="eastAsia" w:eastAsia="宋体"/>
          <w:sz w:val="28"/>
          <w:szCs w:val="28"/>
          <w:lang w:eastAsia="zh-CN"/>
        </w:rPr>
      </w:pPr>
      <w:r>
        <w:rPr>
          <w:rFonts w:hint="eastAsia" w:eastAsia="宋体"/>
          <w:sz w:val="28"/>
          <w:szCs w:val="28"/>
          <w:lang w:eastAsia="zh-CN"/>
        </w:rPr>
        <w:t>注：备案时加盖备案公司公章。</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M2VjMDEyZjk1OThhNDgwNzEwMmUzOTdkYjgzODUifQ=="/>
  </w:docVars>
  <w:rsids>
    <w:rsidRoot w:val="00000000"/>
    <w:rsid w:val="0DFF6738"/>
    <w:rsid w:val="0F7A2ADB"/>
    <w:rsid w:val="119A7465"/>
    <w:rsid w:val="197762DD"/>
    <w:rsid w:val="1BCF2401"/>
    <w:rsid w:val="1C2269D4"/>
    <w:rsid w:val="1EA1074C"/>
    <w:rsid w:val="22CA3922"/>
    <w:rsid w:val="25826736"/>
    <w:rsid w:val="260272DA"/>
    <w:rsid w:val="27651E6B"/>
    <w:rsid w:val="292875F4"/>
    <w:rsid w:val="2F8D6403"/>
    <w:rsid w:val="2F8F217B"/>
    <w:rsid w:val="323963CE"/>
    <w:rsid w:val="32B75C71"/>
    <w:rsid w:val="46503FBA"/>
    <w:rsid w:val="470628CB"/>
    <w:rsid w:val="4E46172F"/>
    <w:rsid w:val="55EB160A"/>
    <w:rsid w:val="59252F75"/>
    <w:rsid w:val="59266DFD"/>
    <w:rsid w:val="60673F83"/>
    <w:rsid w:val="67AF11E6"/>
    <w:rsid w:val="689618A9"/>
    <w:rsid w:val="6B464D48"/>
    <w:rsid w:val="6CA36342"/>
    <w:rsid w:val="75AB270C"/>
    <w:rsid w:val="78C064CE"/>
    <w:rsid w:val="7DD93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748</Words>
  <Characters>802</Characters>
  <Lines>0</Lines>
  <Paragraphs>0</Paragraphs>
  <TotalTime>6</TotalTime>
  <ScaleCrop>false</ScaleCrop>
  <LinksUpToDate>false</LinksUpToDate>
  <CharactersWithSpaces>862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2023-11-01T09:00:00Z</dcterms:created>
  <dc:creator>admin</dc:creator>
  <cp:lastModifiedBy>珍惜</cp:lastModifiedBy>
  <cp:lastPrinted>2023-11-03T08:22:00Z</cp:lastPrinted>
  <dcterms:modified xsi:type="dcterms:W3CDTF">2023-11-06T02:36:53Z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AB19450C58934BF2B4D74603E92E86A8_12</vt:lpwstr>
  </property>
</Properties>
</file>